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Обширный августовский пакет законов затронул положения </w:t>
      </w:r>
      <w:hyperlink r:id="rId4" w:anchor="/document/186117/entry/0" w:history="1">
        <w:r>
          <w:rPr>
            <w:rStyle w:val="a3"/>
            <w:color w:val="3272C0"/>
            <w:sz w:val="26"/>
            <w:szCs w:val="26"/>
          </w:rPr>
          <w:t>Закона</w:t>
        </w:r>
      </w:hyperlink>
      <w:r>
        <w:rPr>
          <w:color w:val="22272F"/>
          <w:sz w:val="26"/>
          <w:szCs w:val="26"/>
        </w:rPr>
        <w:t> о связи.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Изменения</w:t>
      </w:r>
      <w:r>
        <w:rPr>
          <w:color w:val="22272F"/>
          <w:sz w:val="26"/>
          <w:szCs w:val="26"/>
        </w:rPr>
        <w:t xml:space="preserve">, которые вступят в силу </w:t>
      </w:r>
      <w:r>
        <w:rPr>
          <w:color w:val="22272F"/>
          <w:sz w:val="26"/>
          <w:szCs w:val="26"/>
        </w:rPr>
        <w:t xml:space="preserve">с </w:t>
      </w:r>
      <w:r w:rsidRPr="00A76C9A">
        <w:rPr>
          <w:b/>
          <w:color w:val="22272F"/>
          <w:sz w:val="26"/>
          <w:szCs w:val="26"/>
        </w:rPr>
        <w:t>1.01.2025</w:t>
      </w:r>
      <w:r>
        <w:rPr>
          <w:color w:val="22272F"/>
          <w:sz w:val="26"/>
          <w:szCs w:val="26"/>
        </w:rPr>
        <w:t xml:space="preserve"> г</w:t>
      </w:r>
      <w:r>
        <w:rPr>
          <w:color w:val="22272F"/>
          <w:sz w:val="26"/>
          <w:szCs w:val="26"/>
        </w:rPr>
        <w:t>. Они касаются, в частности, следующих вопросов.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rStyle w:val="s10"/>
          <w:b/>
          <w:bCs/>
          <w:color w:val="22272F"/>
          <w:sz w:val="26"/>
          <w:szCs w:val="26"/>
        </w:rPr>
        <w:t>С 1 января 2025 г.: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rStyle w:val="bullet"/>
          <w:color w:val="22272F"/>
          <w:sz w:val="26"/>
          <w:szCs w:val="26"/>
        </w:rPr>
        <w:t>•</w:t>
      </w:r>
      <w:proofErr w:type="spellStart"/>
      <w:r>
        <w:rPr>
          <w:color w:val="22272F"/>
          <w:sz w:val="26"/>
          <w:szCs w:val="26"/>
        </w:rPr>
        <w:t>юрлица</w:t>
      </w:r>
      <w:proofErr w:type="spellEnd"/>
      <w:r>
        <w:rPr>
          <w:color w:val="22272F"/>
          <w:sz w:val="26"/>
          <w:szCs w:val="26"/>
        </w:rPr>
        <w:t xml:space="preserve"> и ИП, заключившие договор об оказании услуг подвижной радиотелефонной связи, </w:t>
      </w:r>
      <w:hyperlink r:id="rId5" w:anchor="/document/409494213/entry/440117" w:history="1">
        <w:r>
          <w:rPr>
            <w:rStyle w:val="a3"/>
            <w:color w:val="3272C0"/>
            <w:sz w:val="26"/>
            <w:szCs w:val="26"/>
          </w:rPr>
          <w:t>смогут</w:t>
        </w:r>
      </w:hyperlink>
      <w:r>
        <w:rPr>
          <w:color w:val="22272F"/>
          <w:sz w:val="26"/>
          <w:szCs w:val="26"/>
        </w:rPr>
        <w:t> предоставлять возможность пользоваться в рамках этого договора услугами связи (оформлять корпоративные сим-карты) только физлицам, которые работают у них по трудовому договору или возмездному гражданско-правовому договору (в настоящее время такого ограничения нет).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Если корпоративными пользователями услугами связи являются иностранные граждане или лица без гражданства, то в ЕСИА дополнительно потребуется указывать сведения о размещении биометрических персональных данных этих лиц в единой биометрической системе;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rStyle w:val="bullet"/>
          <w:color w:val="22272F"/>
          <w:sz w:val="26"/>
          <w:szCs w:val="26"/>
        </w:rPr>
        <w:t>•</w:t>
      </w:r>
      <w:hyperlink r:id="rId6" w:anchor="/document/409494213/entry/173" w:history="1">
        <w:r>
          <w:rPr>
            <w:rStyle w:val="a3"/>
            <w:color w:val="3272C0"/>
            <w:sz w:val="26"/>
            <w:szCs w:val="26"/>
          </w:rPr>
          <w:t>корректируется</w:t>
        </w:r>
      </w:hyperlink>
      <w:r>
        <w:rPr>
          <w:color w:val="22272F"/>
          <w:sz w:val="26"/>
          <w:szCs w:val="26"/>
        </w:rPr>
        <w:t xml:space="preserve"> порядок оплаты физлицами услуг сотовой связи посредством наличных расчетов. Внести оплату наличными можно будет в коммерческих банках и других кредитных организациях, имеющих лицензию ЦБ РФ, объектах почтовой связи, иных организациях, которые определит </w:t>
      </w:r>
      <w:proofErr w:type="spellStart"/>
      <w:r>
        <w:rPr>
          <w:color w:val="22272F"/>
          <w:sz w:val="26"/>
          <w:szCs w:val="26"/>
        </w:rPr>
        <w:t>Кабмин</w:t>
      </w:r>
      <w:proofErr w:type="spellEnd"/>
      <w:r>
        <w:rPr>
          <w:color w:val="22272F"/>
          <w:sz w:val="26"/>
          <w:szCs w:val="26"/>
        </w:rPr>
        <w:t xml:space="preserve">, только при предъявлении документа, удостоверяющего личность, или с использованием ЕСИА в порядке, установленном Правительством РФ. По общему правилу внесение денег через платежные терминалы будет запрещено. Исключение - оплата наличными через платежные терминалы, специально оборудованные для оплаты таких услуг и соответствующие требованиям, которые установит </w:t>
      </w:r>
      <w:proofErr w:type="spellStart"/>
      <w:r>
        <w:rPr>
          <w:color w:val="22272F"/>
          <w:sz w:val="26"/>
          <w:szCs w:val="26"/>
        </w:rPr>
        <w:t>Кабмин</w:t>
      </w:r>
      <w:proofErr w:type="spellEnd"/>
      <w:r>
        <w:rPr>
          <w:color w:val="22272F"/>
          <w:sz w:val="26"/>
          <w:szCs w:val="26"/>
        </w:rPr>
        <w:t>;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rStyle w:val="bullet"/>
          <w:color w:val="22272F"/>
          <w:sz w:val="26"/>
          <w:szCs w:val="26"/>
        </w:rPr>
        <w:t>•</w:t>
      </w:r>
      <w:hyperlink r:id="rId7" w:anchor="/document/409494213/entry/14" w:history="1">
        <w:r>
          <w:rPr>
            <w:rStyle w:val="a3"/>
            <w:color w:val="3272C0"/>
            <w:sz w:val="26"/>
            <w:szCs w:val="26"/>
          </w:rPr>
          <w:t>устанавливаются</w:t>
        </w:r>
      </w:hyperlink>
      <w:r>
        <w:rPr>
          <w:color w:val="22272F"/>
          <w:sz w:val="26"/>
          <w:szCs w:val="26"/>
        </w:rPr>
        <w:t> особенности заключения договоров об оказании услуг подвижной радиотелефонной связи с иностранными гражданами и лицами без гражданства.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 частности, вводится запрет на заключение таких договоров посредством сети "Интернет". Кроме того, по общему правилу: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 заключение договора будет возможно при предъявлении оператору связи или лицу, действующему от его имени, документа, удостоверяющего личность иностранца или лица без гражданства, при условии подтверждения достоверности сведений о таком лице с использованием ЕСИА и единой биометрической системы;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 в договор об оказании услуг подвижной радиотелефонной связи с иностранным гражданином или лицом без гражданства будут включать сведения о пользовательском оборудовании (об оконечном оборудовании), в том числе о его идентификаторе, в котором будет использоваться идентификационный модуль, указанный в таком договоре;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 иностранному гражданину или лицу без гражданства может быть выделено в совокупности не более 10 абонентских номеров (в это число входят и личные, и корпоративные номера).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rStyle w:val="s10"/>
          <w:b/>
          <w:bCs/>
          <w:color w:val="22272F"/>
          <w:sz w:val="26"/>
          <w:szCs w:val="26"/>
        </w:rPr>
        <w:lastRenderedPageBreak/>
        <w:t>С 1 апреля 2025 г.: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rStyle w:val="bullet"/>
          <w:color w:val="22272F"/>
          <w:sz w:val="26"/>
          <w:szCs w:val="26"/>
        </w:rPr>
        <w:t>•</w:t>
      </w:r>
      <w:r>
        <w:rPr>
          <w:color w:val="22272F"/>
          <w:sz w:val="26"/>
          <w:szCs w:val="26"/>
        </w:rPr>
        <w:t>устанавливается </w:t>
      </w:r>
      <w:hyperlink r:id="rId8" w:anchor="/document/409494213/entry/44608" w:history="1">
        <w:r>
          <w:rPr>
            <w:rStyle w:val="a3"/>
            <w:color w:val="3272C0"/>
            <w:sz w:val="26"/>
            <w:szCs w:val="26"/>
          </w:rPr>
          <w:t>ограничение</w:t>
        </w:r>
      </w:hyperlink>
      <w:r>
        <w:rPr>
          <w:color w:val="22272F"/>
          <w:sz w:val="26"/>
          <w:szCs w:val="26"/>
        </w:rPr>
        <w:t> по количеству абонентских номеров на одного человека. По общему правилу физлицу может быть выделено операторами сотовой связи и предоставлено в пользование абонентами - юридическими лицами либо ИП в совокупности не более 20 абонентских номеров. При этом проверять соблюдение данного ограничения операторы связи </w:t>
      </w:r>
      <w:hyperlink r:id="rId9" w:anchor="/document/409494213/entry/20033" w:history="1">
        <w:r>
          <w:rPr>
            <w:rStyle w:val="a3"/>
            <w:color w:val="3272C0"/>
            <w:sz w:val="26"/>
            <w:szCs w:val="26"/>
          </w:rPr>
          <w:t>должны</w:t>
        </w:r>
      </w:hyperlink>
      <w:r>
        <w:rPr>
          <w:color w:val="22272F"/>
          <w:sz w:val="26"/>
          <w:szCs w:val="26"/>
        </w:rPr>
        <w:t> будут до начала оказания услуг связи (как уже отмечалось выше, для иностранцев и лиц без гражданства лимит по общему правилу составит 10 абонентских номеров и он вводится уже с 1 января 2025 г.);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rStyle w:val="bullet"/>
          <w:color w:val="22272F"/>
          <w:sz w:val="26"/>
          <w:szCs w:val="26"/>
        </w:rPr>
        <w:t>•</w:t>
      </w:r>
      <w:r>
        <w:rPr>
          <w:color w:val="22272F"/>
          <w:sz w:val="26"/>
          <w:szCs w:val="26"/>
        </w:rPr>
        <w:t>вводится </w:t>
      </w:r>
      <w:hyperlink r:id="rId10" w:anchor="/document/409494213/entry/10601103" w:history="1">
        <w:r>
          <w:rPr>
            <w:rStyle w:val="a3"/>
            <w:color w:val="3272C0"/>
            <w:sz w:val="26"/>
            <w:szCs w:val="26"/>
          </w:rPr>
          <w:t>обязанность</w:t>
        </w:r>
      </w:hyperlink>
      <w:r>
        <w:rPr>
          <w:color w:val="22272F"/>
          <w:sz w:val="26"/>
          <w:szCs w:val="26"/>
        </w:rPr>
        <w:t> операторов связи до начала оказания услуг по договору предоставить абоненту с использованием сети "Интернет" сведения о заключенном договоре и об абонентских номерах, выделенных абоненту на основании такого договора, и передать на эти абонентские номера короткое текстовое сообщение о заключенном договоре.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rStyle w:val="bullet"/>
          <w:color w:val="22272F"/>
          <w:sz w:val="26"/>
          <w:szCs w:val="26"/>
        </w:rPr>
        <w:t>•</w:t>
      </w:r>
      <w:r>
        <w:rPr>
          <w:color w:val="22272F"/>
          <w:sz w:val="26"/>
          <w:szCs w:val="26"/>
        </w:rPr>
        <w:t>у физлиц появится </w:t>
      </w:r>
      <w:hyperlink r:id="rId11" w:anchor="/document/409494213/entry/10601104" w:history="1">
        <w:r>
          <w:rPr>
            <w:rStyle w:val="a3"/>
            <w:color w:val="3272C0"/>
            <w:sz w:val="26"/>
            <w:szCs w:val="26"/>
          </w:rPr>
          <w:t>возможность</w:t>
        </w:r>
      </w:hyperlink>
      <w:r>
        <w:rPr>
          <w:color w:val="22272F"/>
          <w:sz w:val="26"/>
          <w:szCs w:val="26"/>
        </w:rPr>
        <w:t xml:space="preserve"> подавать через Единый портал </w:t>
      </w:r>
      <w:proofErr w:type="spellStart"/>
      <w:r>
        <w:rPr>
          <w:color w:val="22272F"/>
          <w:sz w:val="26"/>
          <w:szCs w:val="26"/>
        </w:rPr>
        <w:t>госуслуг</w:t>
      </w:r>
      <w:proofErr w:type="spellEnd"/>
      <w:r>
        <w:rPr>
          <w:color w:val="22272F"/>
          <w:sz w:val="26"/>
          <w:szCs w:val="26"/>
        </w:rPr>
        <w:t xml:space="preserve"> запрос о заключенных с ними договорах об оказании услуг подвижной радиотелефонной связи и выделенных по ним абонентских номерах в </w:t>
      </w:r>
      <w:proofErr w:type="spellStart"/>
      <w:r>
        <w:rPr>
          <w:color w:val="22272F"/>
          <w:sz w:val="26"/>
          <w:szCs w:val="26"/>
        </w:rPr>
        <w:t>Роскомнадзор</w:t>
      </w:r>
      <w:proofErr w:type="spellEnd"/>
      <w:r>
        <w:rPr>
          <w:color w:val="22272F"/>
          <w:sz w:val="26"/>
          <w:szCs w:val="26"/>
        </w:rPr>
        <w:t>. В ответ ведомство должно незамедлительно предоставить запрашиваемые сведения. В случае несогласия физлица с фактом заключения договора об оказании услуг подвижной радиотелефонной связи или выделения ему абонентского номера он вправе, в том числе с использованием единого портала, направить оператору связи обращение о приостановлении оказания услуг связи. Получив такое обращение, оператор должен будет незамедлительно приостановить оказание услуг;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rStyle w:val="bullet"/>
          <w:color w:val="22272F"/>
          <w:sz w:val="26"/>
          <w:szCs w:val="26"/>
        </w:rPr>
        <w:t>•</w:t>
      </w:r>
      <w:hyperlink r:id="rId12" w:anchor="/document/409494213/entry/44602" w:history="1">
        <w:r>
          <w:rPr>
            <w:rStyle w:val="a3"/>
            <w:color w:val="3272C0"/>
            <w:sz w:val="26"/>
            <w:szCs w:val="26"/>
          </w:rPr>
          <w:t>корректируется</w:t>
        </w:r>
      </w:hyperlink>
      <w:r>
        <w:rPr>
          <w:color w:val="22272F"/>
          <w:sz w:val="26"/>
          <w:szCs w:val="26"/>
        </w:rPr>
        <w:t> обязанность оператора связи по проверке достоверности сведений об абоненте и сведений о корпоративных пользователях услугами связи. Достоверность данных будет проверяться до начала оказания услуг. В случае обнаружения недостоверности сведений, оператор обязан не оказывать в отношении данного абонентского номера услуги связи, уведомив об этом абонента. Уточнены способы проверки достоверности информации об абонентах.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Предусмотрены переходные положения: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 до 1 июля 2025 г. операторам сотовой связи </w:t>
      </w:r>
      <w:hyperlink r:id="rId13" w:anchor="/document/409494213/entry/57" w:history="1">
        <w:r>
          <w:rPr>
            <w:rStyle w:val="a3"/>
            <w:color w:val="3272C0"/>
            <w:sz w:val="26"/>
            <w:szCs w:val="26"/>
          </w:rPr>
          <w:t>необходимо</w:t>
        </w:r>
      </w:hyperlink>
      <w:r>
        <w:rPr>
          <w:color w:val="22272F"/>
          <w:sz w:val="26"/>
          <w:szCs w:val="26"/>
        </w:rPr>
        <w:t> обеспечить включение в договоры об оказании услуг подвижной радиотелефонной связи с абонентами - иностранными гражданами или лицами без гражданства, заключенные до 1 января 2025 г., сведений о пользовательском оборудовании (об оконечном оборудовании), в котором будет использоваться идентификационный модуль;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 до 1 ноября 2025 г. операторы сотовой связи </w:t>
      </w:r>
      <w:hyperlink r:id="rId14" w:anchor="/document/409494213/entry/58" w:history="1">
        <w:r>
          <w:rPr>
            <w:rStyle w:val="a3"/>
            <w:color w:val="3272C0"/>
            <w:sz w:val="26"/>
            <w:szCs w:val="26"/>
          </w:rPr>
          <w:t>должны</w:t>
        </w:r>
      </w:hyperlink>
      <w:r>
        <w:rPr>
          <w:color w:val="22272F"/>
          <w:sz w:val="26"/>
          <w:szCs w:val="26"/>
        </w:rPr>
        <w:t> осуществить проверку сведений об абонентах, в том числе корпоративных пользователях услуг связи, заключивших договоры / получивших в пользование абонентские номера до 01.04.2025, а также сведений о количестве выделенных им абонентских номеров.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В отношении абонентов - иностранных граждан или лиц без гражданства, заключивших договоры / получивших в пользование абонентские номера до </w:t>
      </w:r>
      <w:r>
        <w:rPr>
          <w:color w:val="22272F"/>
          <w:sz w:val="26"/>
          <w:szCs w:val="26"/>
        </w:rPr>
        <w:lastRenderedPageBreak/>
        <w:t>01.01.2025, проверка сведений об абоненте, сведений о количестве выделенных номеров и некоторых иных сведений </w:t>
      </w:r>
      <w:hyperlink r:id="rId15" w:anchor="/document/409494213/entry/57" w:history="1">
        <w:r>
          <w:rPr>
            <w:rStyle w:val="a3"/>
            <w:color w:val="3272C0"/>
            <w:sz w:val="26"/>
            <w:szCs w:val="26"/>
          </w:rPr>
          <w:t>должна</w:t>
        </w:r>
      </w:hyperlink>
      <w:r>
        <w:rPr>
          <w:color w:val="22272F"/>
          <w:sz w:val="26"/>
          <w:szCs w:val="26"/>
        </w:rPr>
        <w:t> быть осуществлена до 1 июля 2025 г.</w:t>
      </w:r>
    </w:p>
    <w:p w:rsidR="00A76C9A" w:rsidRDefault="00A76C9A" w:rsidP="00A76C9A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bookmarkStart w:id="0" w:name="_GoBack"/>
      <w:bookmarkEnd w:id="0"/>
      <w:r>
        <w:rPr>
          <w:color w:val="22272F"/>
          <w:sz w:val="26"/>
          <w:szCs w:val="26"/>
        </w:rPr>
        <w:t>Предусмотрены и некоторые иные изменения.</w:t>
      </w:r>
    </w:p>
    <w:p w:rsidR="00135E65" w:rsidRDefault="00135E65"/>
    <w:sectPr w:rsidR="0013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04"/>
    <w:rsid w:val="00135E65"/>
    <w:rsid w:val="008D1C04"/>
    <w:rsid w:val="00A7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8639"/>
  <w15:chartTrackingRefBased/>
  <w15:docId w15:val="{6E536828-48DE-4C7F-8EBB-27ABA117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7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6C9A"/>
    <w:rPr>
      <w:color w:val="0000FF"/>
      <w:u w:val="single"/>
    </w:rPr>
  </w:style>
  <w:style w:type="character" w:customStyle="1" w:styleId="s10">
    <w:name w:val="s_10"/>
    <w:basedOn w:val="a0"/>
    <w:rsid w:val="00A76C9A"/>
  </w:style>
  <w:style w:type="character" w:customStyle="1" w:styleId="bullet">
    <w:name w:val="bullet"/>
    <w:basedOn w:val="a0"/>
    <w:rsid w:val="00A7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2025-02-19T06:22:00Z</dcterms:created>
  <dcterms:modified xsi:type="dcterms:W3CDTF">2025-02-19T06:24:00Z</dcterms:modified>
</cp:coreProperties>
</file>